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корпорация по космической деятельности «Роскосмос» (далее – Корпорация) обратилась в Арбитражный суд города Москвы с иском к акционерному обществу «Конструкторское бюро химавтоматики» (далее – Общество) о взыскании 63 548 135 рублей неустойки за период с 06.12.2015 по 06.06.2018, а также с 07.06.2018 по день фактического исполнения обязательства. Решением Арбитражного суда города Москвы от 16.05.2019, оставленным без изменения постановлением Девятого арбитражного апелляционного суда от 02.08.2019 и постановлением Арбитражного суда Московского округа от 07.11.2019, исковые требования удовлетворены частично: с Общества в пользу Корпорации взыскано 31 774 067 рублей 50 копеек неустойки.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дана правовая квалификация отношениям сторон. По мнению Общества, судебными инстанциями неверно определена сумма, на основании которой должен рассчитываться размер неустойки, а также не исследованы обстоятельства, не позволившие исполнить обязательства в срок. Также заявитель ссылается на несоответствие размера взысканной неустойки последствиям нарушения обязательства.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25.08.2015 между Федеральным агентством по управлению государственным имуществом, Федеральным космическим агентством (правопредшественник Корпорации) и Обществом заключен договор № 256-Д298/15/197 об участии Российской Федерации в собственности субъекта инвестиций № 01-09/284 на основании статьи 80 Бюджетного кодекса Российской Федерации. Между сторонами 27.05.2016 заключено дополнительное соглашение № 1 к договору, в соответствии с которым Корпорация приобретает все права и обязанности Федерального космического агентства по договору. Согласно пункту 1 договора Российская Федерация предоставляет застройщику (Обществу) бюджетные инвестиции на условиях, установленных договором, для чего застройщик передает, а Российская Федерация принимает и оплачивает 2 877 000 штук акций. Бюджетные инвестиции предоставляются застройщику на осуществление работ по объекту капитального строительства «Реконструкция и техническое перевооружение производства», предусмотренного п. 1.9.5 (стр. 154) прил. № 4 к постановлению Правительства Российской Федерации от 01.10.2014 № 1003-29 о внесении изменений в Федеральную целевую программу «Развитие оборонно- промышленного комплекса Российской Федерации на 2011-2020 годы» (далее – Объект) в объеме, предусмотренном титульным списком объекта капитального строительства на 2015 год и планом-графиком выполнения работ по объекту, которые согласно пункту 6.6 договора являются его неотъемлемой частью. В соответствии с титульным списком и планом-графиком выполнения работ по Объекту работы по договору должны быть завершены 05.12.2015. Пунктом 2.3 договора определена общая сумма сделки в размере 287 700 000 рублей, которые были перечислены Обществу. Согласно пункту 5.4 договора, в случае нарушения застройщиком сроков окончания работ, предусмотренных договором, он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цены договора за каждый день просрочки до фактического завершения выполнения работ. Ссылаясь на то, что работы на Объекте не выполнены, Корпорация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401 Гражданского кодекса Российской Федерации, суды частично удовлетворили заявленные требования, признав доказанным факт нарушения ответчиком сроков окончания работ, в связи с чем признали за Корпорацией право требования уплаты договорной неустойки в согласованном сторонами размере, снизив ее по правилам статьи 333 названного Кодекса.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акционерное общество «Конструкторское бюро химавтоматики»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ГК по космической деятельности "Роскосмос" (подробнее) Ответчики: АО "Конструкторское бюро химавтоматики"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