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09.04.2019, оставленным без изменения постановлением Девятого арбитражного апелляционного суда от 03.07.2019 и постановлением Арбитражного суда Московского округа от 05.11.2019, в удовлетворении иска отказано. В кассационной жалобе, поданной в Верховный Суд Российской Федерации, объединение,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Арбитражный суд города Москвы.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309 , 310 , 330 , 431 , 702 , 708 Гражданского кодекса Российской Федерации, суды первой и апелляционной инстанций пришли к выводу о недоказанности объединением наличия оснований для взыскания с общества неустойки и отказали в удовлетворении иска, с чем впоследствии согласился суд округа. Доводы кассационной жалобы не опровергают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дела. Принимая во внимание изложенное и руководствуясь статьей 291.6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«Объединение «Ингеоком»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АО " Объединение "ИНГЕОКОМ" (подробнее) Ответчики: ООО ИНТЕГРАЛ (подробнее) Судьи дела: Чучунова Н.С. (судья) (подробнее) Судебная практика по: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