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февраля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Ковальская М.В. обратилась в суд с заявлением о включении в реестр требований кредиторов должника задолженности в размере 2 162 390 рублей 05 копеек. Определением Арбитражного суда Московской области от 17.05.2019 требование признано обоснованным и включено в третью очередь реестра. Постановлением Десятого арбитражного апелляционного суда от 08.08.2019, оставленным без изменения постановлением Арбитражного суда Московского округа от 28.10.2019, вышеуказанное определение отменено; в удовлетворении требований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определение суда первой инстанции оставить в силе.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2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Отменяя определение и отказывая в удовлетворении требований, апелляционный суд, основываясь на оценке представленных в дело доказательств в соответствии с правилами главы 7 Арбитражного процессуального кодекса Российской Федерации, руководствуясь статьями 2, 71, 100, 142Федерального закона от 26.10.2002 № 127-ФЗ «О несостоятельности (банкротстве)», пунктом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исходил из того, что несмотря на формальное соответствие заключенного сторонами договора уступки права требованиям закона, переданное по нему в пользу заинтересованного с должником заявителя требование не утрачивает статус требования, предъявленного с очевидной и противоправной целью уменьшения в интересах аффилированных с должником лиц количества голосов, приходящихся на долю независимых кредиторов, что недопустимо. Суд округа поддержал выводы апелляционного суда.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Оснований для передачи кассационной жалобы на рассмотрение в судебном заседании Судебной коллегии Верховного Суда Российской Федерации не имеется.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Ковальской Маргарите Викторовне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