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18.03.2019, оставленным без изменения постановлением Девятого арбитражного апелляционного суда от 18.06.2019, исковые требования удовлетворены. Постановлением Арбитражного суда Московского округа от 05.11.2019 указанные судебные акты оставлены без изменения. В кассационной жалобе, поступившей в Верховный Суд Российской Федерации, административный орган просит отменить обжалуемые судебные акты, считая их принятыми с существенным нарушением норм процессуального права.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истец уплатил штраф в связи с исполнением постановления о привлечении к административной ответственности, которое впоследствии было отменено. Оценив представленные доказательства, суды удовлетворили исковые требования, признав, что уплаченная на основании отмененного постановления сумма штрафа подлежит возврату обществу, так как для удержания данной суммы отсутствуют правовые основания. В кассационной жалобе административный орган указывает, что в силу статьи 3.5 Кодекса Российской Федерации об административных правонарушениях административный штраф как мера административного наказания по своей сущности является денежным взысканием, а также основным видом наказания за совершение административного правонарушения и, в отличие от убытков, не выполняет компенсационной функции. Между тем,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Несмотря на то, что лицо, в отношении которого отменено постановление о привлечении к административной ответственности, не обращался с заявлением к администратору дохода о возврате сумы уплаченного штрафа, приведенные в жалобе доводы не могут быть признаны достаточным основанием для пересмотра обжалуемых судебных актов. Чем в рассматриваемом случае нарушены публичные интересы и права конкретного административного органа, и какой защите они подлежат при установленных судами обстоятельствах наличия оснований для возвращения того, что неправомерно изъято (получено) по отмененному постановлению, в жалобе не приведено.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"ТАКСОМОТОРНЫЙ ПАРК №20" (подробнее) Ответчики: Государственное казенное учреждение города Москвы "Организатор перевозок"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