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жалобой на действия ФИО1, выразившиеся в непринятии мер по формированию конкурсной массы должника, в том числе по установлению фактов необоснованного перечисления денежных средств с расчётного счёта должника, а также мер по возврату указанных средств; непринятии мер по взысканию дебиторской задолженности; нарушении порядка опубликования сведений о проведении торгов по продаже имущества должника. Определением Арбитражного суда Воронежской области от 22.02.2019, оставленным без изменения постановлениями Девятнадцатого арбитражного апелляционного суда от 25.06.2019 и Арбитражного суда Центрального округа от 28.10.2019, жалоба удовлетворена частично. Признано незаконным бездействие ФИО1, выразившееся в непринятии мер, направленных на формирование конкурсной массы должника, в том числе по установлению фактов необоснованного перечисления денежных средств с расчетного счета должника, а также возврат указанных средств, в непринятии мер по взысканию дебиторской задолженности, отказано в удовлетворении остальной части жалобы. В кассационной жалобе, поданной в Верховный Суд Российской Федерации, заявитель просит отменить указанные судебные акты в части удовлетворения жалобы,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и 129 Федерального закона от 26.10.2002 № 127-ФЗ «О несостоятельности (банкротстве)», исходили из доказанности наличия в указанных действиях ФИО1 вменяемых ему нарушений законодательства о несостоятельности.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«Новохоперскстройподряд»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СРО "Строители Черноземья" (подробнее) ГУП ВО "ОБЛКОММУНСЕРВИС" (подробнее) ООО ТД "Виктория" (подробнее) Управление ФСГР кадастра и картографии по ВО (Росреестр) (подробнее) Ответчики: ООО "Новохоперскстройподряд" (подробнее) Иные лица: Ассоциация "Саморегулируемая организация арбитражный управляющих "Лига" (подробнее) МИФНС России №2 по ВО (подробнее) Управление росреестра по ВО (подробнее) УФНС по ВО (подробнее) Федеральная налоговая служба (подробнее) Федеральная налоговая служба в лице УФНС России по Воронежской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