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его требований в размере 31 448 111 рублей 58 копеек, составляющих задолженность и проценты по договорам займа, заключенным в период с 01.06.2015 по 29.03.2016. Определением Арбитражного суда Московской области от 26.07.2018, оставленным без изменения постановлением Десятого арбитражного апелляционного суда от 03.12.2018 и постановлением Арбитражного суда Московского округа от 21.03.2019, требование включено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Арбитражный суд Московской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309 , 310 , 807 , 808 Гражданского кодекса Российской Федерации, статей 32, 71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предоставления надлежащих доказательств, подтверждающих требования ФИО2, указав на отсутствие доказательств погашения должником заявленных требований. Выводы судов соответствуют нормам права, оснований для переоценки выводов судов по доводам жалобы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«Акционерный коммерческий банк «Кроссинвестбанк»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городского округа Коломна (подробнее) АКБ "Кроссинвестбанк" (подробнее) АО "МОСОБЛГАЗ" (подробнее) АССОЦИАЦИЯ ЕВРОСИБИРСКАЯ САМОРЕГУЛИРУЕМАЯ ОРГАНИЗАЦИЯ АРБИТРАЖНЫХ УПРАВЛЯЮЩИХ (подробнее) Ассоциация "Межрегиональная саморегулируемая организация арбитражных управляющих "Содействие" (подробнее) ГК "Агентство по страхованию вкладов" (подробнее) Конкурсный управляющий АКБ "Кроссинвестбанк" ОАО в лице ГК "АСВ" (подробнее) Конкурсный управляющий Кызласова Юлия Владимировна (подробнее) К/у ОАО АКБ "Кроссинвестбанк" - ГК "АСВ" (подробнее) Межрайонная инспекция Федеральной налоговой службы Российской Федерации №7по Московскйо области (подробнее) ОАО АКЦИОНЕРНЫЙ КОММЕРЧЕСКИЙ БАНК "КРОССИНВЕСТБАНК" (подробнее) ООО "Альянс" (подробнее) ООО "Атлет" (подробнее) ООО "ИНФИН КОНСАЛТ" (подробнее) ООО "ЦентрБрокер" (подробнее) Последние документы по делу: Определение от 21 февраля 2020 г. по делу № А41-100288/2017 Определение от 5 июля 2019 г. по делу № А41-100288/2017 Показать все документы по этому делу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