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9 129 126 рублей. Определением Арбитражного суда Свердловской области от 11.12.2018 заявление удовлетворено. Постановлением Семнадцатого арбитражного апелляционного суда от 30.07.2019, оставленным без изменения постановлением Арбитражного суда Уральского округа от 22.10.2019, вышеуказанное определение отменено; обществу отказано во включении требований в реестр.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апелляционный суд,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167, 168, 1103, 1108 Гражданского кодекса Российской Федерации, статьями 100, 142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недоказанности наличия оснований для возмещения затрат и неотделимых улучшений на имущество заявителю, являющемуся недобросовестным приобретателем, получившим имущество по ничтожным сделкам, в связи чем отказал во включении требований в реестр.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«Картель»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