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Пошастенков А.Н. обратился в Арбитражный суд Московского округа с заявлением о пересмотре по новым обстоятельствам определения Арбитражного суда Московского округа от 01.07.2019 о возвращении кассационной жалобы заявителя в связи с отказом в восстановлении пропущенного срока на кассационное обжалование. Определением Арбитражного суда Московского округа от 06.11.2019 оставленным без изменения коллегиальным определением того же суда от 02.12.2019, кассационная жалоба заявителя была возвращена на основании пункта 3 части 1 статьи 315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Возвращая заявление, суд округа руководствовался статьями 309, 311, 313, 315 Арбитражного процессуального кодекса Российской Федерации, пунктом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и пришёл к обоснованному выводу о том, что приводимые в нём обстоятельства не обладали признаками вновь открывшихся. Проверяя обоснованность возврата заявления,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