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20.05.2019, оставленным без изменения постановлением Четвертого арбитражного апелляционного суда от 26.07.2019 и постановлением Арбитражного суда Восточно-Сибирского округа от 23.10.2019, в удовлетворении заявленных требований отказано. В кассационной жалобе, поданной в Верховный Суд Российской Федерации, общество, ссылаясь на нарушение судами норм, просит отменить указанные судебные акты и принять новый судебный акт об удовлетворении заявленных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заявленных требований, суды трех инстанций, руководствуясь статьей 161 Жилищного кодекса Российской Федерации,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06.02.2006 № 75, пришли к выводу о наличии у администрации правовых оснований для составления протокола о признании общества уклонившимся от заключения договора и невозвращения ему внесенных в качестве обеспечения заявки на участие в конкурсе денежных средств с учетом доказанности непредставления обществом в предусмотренный срок обеспечения исполнения обязательств, в частности, банковской гарантии, выданной банком в установленном порядке.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управляющей компании общества с ограниченной ответственностью «КапиталСервис»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