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«Гарант Строй» обратилось в Арбитражный суд города Санкт-Петербурга и Ленинградской области с иском о взыскании с общества с ограниченной ответственностью «МетроСитиСтрой» 646 200 рублей задолженности по договору поставки от 10.01.2012 № 7 Решением Арбитражного суда города Санкт-Петербурга и Ленинградской области от 25.04.2019 в удовлетворении иска отказано. Постановлением Тринадцатого арбитражного апелляционного суда от 02.08.2019 решение суда первой инстанции оставлено без изменения. Арбитражный суд Северо-Западного округа постановлением от 18.11.2019 указанные судебные акты оставил без изменения. Общество с ограниченной ответственностью «Гарант-Строй»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196 , 199 , 200 , 203 , 506 , 516 Гражданского кодекса Российской Федерации, постановлением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выводу о пропуске истцом срока исковой давности, о чем заявлено ответчиком, не установив перерыва срока исковой давности.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"Гарант Строй" (подробнее) Ответчики: ООО "МЕТРОСИТИСТРОЙ" (подробнее) Судьи дела: Зарубина Е.Н. (судья) (подробнее) Судебная практика по: По договору поставки Судебная практика по применению норм ст. 506, 507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