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30.04.2019, оставленным без изменения постановлением Третьего арбитражного апелляционного суда от 02.08.2019, первоначальный иск удовлетворен, в удовлетворении встречного иска отказано. Постановлением Арбитражного суда Восточно-Сибирского округа от 19.11.2019 решение суда первой инстанции и постановление суда апелляционной инстанции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судебные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указал на неполное исследование судами обстоятельств, имеющих существенное значение для правильного разрешения спора. Доводы кассационной жалобы не свидетельствуют о существенном нарушении судом норм права при принятии обжалуемого судебного акта, в связи с чем основания для передачи жалобы для рассмотрения в судебном заседании отсутствуют.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«Рапид Билдинг»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"Рапид Билдинг" (подробнее) Ответчики: ООО "Доспехи Дома" (подробнее) ООО "Сиб-Транзит" (подробнее) Иные лица: ООО "СибСтройЭксперт"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