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27.03.2019, оставленным без изменения постановлением Девятого арбитражного апелляционного суда от 15.07.2019 и постановлением Арбитражного суда Московского округа от 06.11.2019, в удовлетворении первоначального иска отказано, встречный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от 31.10.2016 № 79354, а также обстоятельства его исполнения сторонами, руководствуясь статьями 15, 309, 310, 329, 330, 393 Гражданского кодекса Российской Федерации, суды первой и апелляционной инстанций, с которыми впоследствии согласился суд округа, пришли к выводу об отсутствии оснований для удовлетворения первоначального иска и правомерности встречных требований. Выводы судов подробно мотивированы,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«РВК Инжиниринг»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