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22.04.2019, оставленным без изменения постановлением Девятого арбитражного апелляционного суда от 15.07.2019 и постановлением Арбитражного суда Московского округа от 22.10.2019, с компании в пользу общества взыскано 32 000 000 руб. неосновательного обогащения, 20 000 000 руб. неустойки, в удовлетворении остальной части первоначальных исковых требований и в удовлетворении встречного иска отказано. 2 В кассационной жалобе, поданной в Верховный Суд Российской Федерации, компания, ссылаясь на нарушение судами норм материального права,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договора от 10.12.2014 № 2596-Ф, заключение судебной экспертизы, установив, что работы выполнены компанией не в полном объеме и с недостатками, которые последней не устранены, предусмотренный договором результат работ не достигнут, учитывая, что договор расторгнут обществом в одностороннем порядке, руководствуясь статьями 309, 310, 421, 715, 1102 Гражданского кодекса Российской Федерации, пришли к выводу о наличии оснований для удовлетворения требований общества о взыскании неотработанного аванса и необоснованности требований компании о взыскании стоимости работ. С указанными выводами впоследствии согласился суд округа. Доводы кассационной жалобы не опровергают выводы судов, направлены на переоценку установленных судами обстоятельств, и не подтверждают существенных нарушений судами норм материального и процессуального права, повлиявших на исход дела.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«Инженерно-Строительная Компания «Союз-Сети»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