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22.02.2019, оставленным без изменения постановлением Девятого арбитражного апелляционного суда от 01.07.2019 и постановлением Арбитражного суда Московского округа от 23.10.2019, с компании в пользу общества взыскано 115 688 058 руб. 39 коп. задолженности, в удовлетворении остальной части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в части удовлетворения исковых требований и принять новый судебный акт об отказе обществу в иске в данной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общество «Русинжиниринг» (подрядчик) выполнило работы и поставило оборудование в рамках заключенного с компанией (заказчиком) договора от 18.12.2008 № 0202-2-14-01-СМ/08, доказательств полной оплаты которых последней не представлено. При таких обстоятельствах, руководствуясь статьями 309 , 310 , 702 , 711 , 740 , 746 , 753 Гражданского кодекса Российской Федерации, суды пришли к выводу о наличии оснований для взыскания с компании задолженности в пользу общества, получившего право требования денежных средств на основании договора от 02.06.2015 № 35/05-2015 возмездной уступки права требования, заключенного с подрядчиком.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«Федеральная сетевая компания Единой энергетической системы»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ЗАО ""ЭЙЧ ДИ ЭНЕРГО" (подробнее) Ответчики: ПАО "ФЕДЕРАЛЬНАЯ СЕТЕВАЯ КОМПАНИЯ ЕДИНОЙ ЭНЕРГЕТИЧЕСКОЙ СИСТЕМЫ"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