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11.07.2019, оставленным без изменения постановлением Десятого арбитражного апелляционного суда от 22.08.2019 и постановлением Арбитражного суда Московского округа от 06.11.2019,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процессуального права, просит отменить указанные судебные акты и направить дело на новое рассмотрение в Арбитражный суд Московской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720 , 753 , 779 , 781 , 783 Гражданского кодекса Российской Федерации, установив факт ненадлежащего исполнения обществом обязательств по оплате оказанных компанией услуг в рамках договора от 13.06.2018 № БДО-3204-0255-18 (в редакции дополнительного соглашения), пришли к выводу о наличии оснований для удовлетворения заявленных требований. С указанными выводами впоследствии согласился суд округа. Довод общества о его ненадлежащем извещении судом первой инстанции о судебном разбирательстве опровергается содержанием судебных актов, а также утверждениями самого заявителя, согласно которым копия определения суда о принятии искового заявления к производству получена им до даты судебного заседания. Довод жалобы о необоснованном отклонении судом первой инстанции ходатайства об отложении судебного разбирательства был предметом рассмотрения судов апелляционной инстанции и округа и получил соответствующую правовую оценку.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«Территория Фитнеса»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"БДО ЮНИКОН" (подробнее) Ответчики: ООО "ТЕРРИТОРИЯ ФИТНЕСА"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