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«Инвест-Капитал» (далее – общество) обратилось в суд с заявлением о включении в третью очередь реестра требований кредиторов должника его требования в размере 25 536 120 рублей 46 копеек основного долга. Определением Арбитражного суда Курской области от 05.06.2019, оставленным без изменения постановлением Девятнадцатого арбитражного апелляционного суда от 04.09.2019, отказано в удовлетворении требований. Постановлением Арбитражного суда Центрального округа от 09.12.2019 отменены определение суда первой инстанции от 05.06.2019 и постановление апелляционного суда от 04.09.2019 в части отказа во включении в реестр требований кредиторов должника требований общества, основанных на договоре займа от 26.06.2013, заключенного должником с Волокитиным Н.В., в данной части дело направлено на новое рассмотрение в Арбитражный суд Курской области, в остальной части судебные акты оставлены без изменения. 2 В кассационной жалобе, поданной в Верховный Суд Российской Федерации, заявитель просит частично отменить постановление суда округа, оставить в силе определение суда первой инстанции и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отменяя состоявшиеся судебные акты и направляя спор на новое рассмотрение в указанной части, суд округа исходил из допущенных судами нарушений норм процессуального и материального права, указав, что принятые по настоящему спору судебные акты вынесены без полного исследования всех обстоятельств, имеющих существенное значение для правильного разрешения спора, что привело к преждевременным выводам. При новом рассмотрении судам необходимо учесть, что совершение сделки заинтересованными лицами при наличии задолженности перед иными кредиторами само по себе не свидетельствует о наличии признаков злоупотребления правом, установить момент возникновения у должника признаков объективного банкротства, а также надлежаще оценить реальность отношений, связанных с договором займа от 26.06.2013, наличие или отсутствие признаков корпоративного характера данных отношений.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в обжалуемой части арбитражным судом округа не был окончательно разрешён, заявитель не лишён возможности при новом рассмотрении спора изложить свои доводы со ссылками на нормы права и имеющиеся доказательства.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«Банк «Объединенный финансовый капитал»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