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России по городу Мытищи Московской области (далее – уполномоченный орган) обратилась в суд с заявлением о включении в реестр требований должника требования в размере 25 470 484 рублей 50 копеек в третью очередь реестра требований кредиторов должника, а также просила включить требования в размере 11 478 553 рублей 10 копеек во вторую очередь реестра требований кредиторов должника. Определением Арбитражного суда Московской области от 25.04.2019, оставленным без изменения постановлениями Десятого арбитражного апелляционного суда от 15.07.2019 и Арбитражного суда Московского округа от 21.10.2019, требования в размере 11 478 553 рублей 10 копеек признаны обоснованными, подлежащими включению во вторую очередь реестра требований кредиторов должника отдельно, с удовлетворением после 2 завершения расчётов с кредиторами второй очереди, заявившими свои требования в установленный срок; требования в размере 25 470 484 рублей 50 копеек признаны обоснованными, подлежащим удовлетворению за счёт имущества, оставшегося после удовлетворения требований кредиторов, включённых в реестр требований кредиторов должника. В кассационных жалобах, поданных в Верховный Суд Российской Федерации, банк просит изменить данные судебные акты, а Ни Э.Е – отменить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100, 134, 142 и 213.24 Федерального закона от 26.10.2002 № 127-ФЗ «О несостоятельности (банкротстве)», позицией, изложенной в пункте 14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от 20.12.2016, в пункте 41.1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исходили из обоснованности требований уполномоченного органа и заявления данных требований с пропуском установленного законом двухмесячного срока, при этом правомерно определив очерёдность удовлетворения требований. Выводы судов соответствуют нормам права, оснований для переоценки этих выводов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 Эдуарду Евгеньевичу и обществу с ограниченной ответственностью «Коммерческий банк «Российский Промышленный Банк»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