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указанной кассационной жалобой, одновременно заявив ходатайство о восстановлении срока ее подачи. Рассмотрев ходатайство, судья находит его подлежащим удовлетворению. Руководствуясь статьями 117 , 184 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«Тулачермет- Сталь» удовлетворить. Срок подачи кассационной жалобы на решение Арбитражного суда Тульской области от 28.05.2019 по делу № А68-2329/2019, постановление Двадцатого арбитражного апелляционного суда от 14.08.2019 и постановление Арбитражного суда Центрального округа от 26.11.2019 по тому же делу восстановить. Судья Верховного Суда Российской Федерации Е.Н. Зарубина Суд: Верховный Суд РФ (подробнее) Истцы: ООО "Бастион-Инвест" (подробнее) Ответчики: ООО "ТУЛАЧЕРМЕТ-СТАЛЬ" (подробнее) Судьи дела: Зарубина Е.Н. (судья) (подробнее) Последние документы по делу: Определение от 19 февраля 2020 г. по делу № А68-2329/2019 Определение от 6 февраля 2020 г. по делу № А68-2329/2019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