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инспекция Федеральной налоговой службы России по городу Мытищи Московской области (далее – уполномоченный орган) обратилась в суд с заявлением о включении в реестр требований должника требования в размере 25 470 484 рублей 50 копеек в третью очередь реестра требований кредиторов должника, а также просила включить требования в размере 11 478 553 рублей 10 копеек во вторую очередь реестра требований кредиторов должника. Определением Арбитражного суда Московской области от 25.04.2019, оставленным без изменения постановлениями Десятого арбитражного апелляционного суда от 15.07.2019 и Арбитражного суда Московского округа от 21.10.2019, требования в размере 11 478 553 рублей 10 копеек признаны обоснованными, подлежащими включению во вторую очередь реестра требований кредиторов должника отдельно, с удовлетворением после завершения расчётов с кредиторами второй очереди, заявившими свои требования в установленный срок; требования в размере 25 470 484 рублей 50 копеек признаны обоснованными, подлежащим удовлетворению за счёт имущества, оставшегося после удовлетворения требований кредиторов, включённых в реестр требований кредиторов должника. В кассационных жалобах, поданных в Верховный Суд Российской Федерации, заявители просят изменить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100, 134, 142 и 213.24 Федерального закона от 26.10.2002 № 127-ФЗ «О несостоятельности (банкротстве)», позицией, изложенной в пункте 14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утвержденному Президиумом Верховного Суда Российской Федерации от 20.12.2016, пункте 41.1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исходили из обоснованности требований уполномоченного органа и заявления данных требований с пропуском установленного законом двухмесячного срока, при этом правомерно определив очерёдность удовлетворения требований. Выводы судов соответствуют нормам права, оснований для переоценки этих выводов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финансовому управляющему имуществом индивидуального предпринимателя ФИО1 ФИО2, ФИО3, обществу с ограниченной ответственностью «Рускомплект», обществу с ограниченной ответственностью «Группа компаний «РАЙ», обществу с ограниченной ответственностью «РОНА» и обществу с ограниченной ответственностью «Тиера»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Последние документы по делу: Определение от 19 февраля 2020 г. по делу № А41-53325/2017 Определение от 26 декабря 2019 г. по делу № А41-53325/2017 Определение от 23 декабря 2019 г. по делу № А41-53325/2017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