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«СтройПроектСервис» обратилось в Арбитражный суд Иркутской области с иском о взыскании с акционерного общества «Страховое общество газовой промышленности» 30 198 639 рублей 40 копеек страхового возмещения по договору комбинированного страхования строительно-монтажных рисков (полис № ИР- 96-001434-14-СС от 08.09.2014). Решением Арбитражного суда Иркутской области от 17.04.2019 в удовлетворении иска отказано. Постановлением Четвертого арбитражного апелляционного суда от 09.08.2019 решение суда первой инстанции оставлено без изменения. Арбитражный суд Восточно-Сибирского округа постановлением от 19.11.2019 указанные судебные акты оставил без изменения. Общество с ограниченной ответственностью «СтройПроектСервис»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200 , 201 , 966 Гражданского кодекса Российской Федерации и исходили из пропуска истцом срока исковой давности, о чем заявлено ответчиком, не установив в действиях ответчика злоупотребления правом.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«СтройПоектСервис»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"СтройПроектСервис" (подробнее) Ответчики: АО "Страховое общество газовой промышленности" "СОГАЗ"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