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Волгоградской области от 08.05.2019, оставленным без изменения постановлением Двенадцатого арбитражного апелляционного суда от 24.07.2019, в удовлетворении заявленного требования отказано. Постановлением Арбитражного суда Поволжского округа от 24.10.2019 указанные судебные акты оставлены без изменения. В кассационной жалобе, поступившей в Верховный Суд Российской Федерации, общество просит отменить названные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Как следует из судебных актов, основанием для доначисления обществу по результатам камеральной проверки налога на добавленную стоимость, пени и штрафа, послужили выводы налогового органа о создании обществом формального документооборота для получения необоснованной налоговой выгоды. Оценив представленные доказательства, руководствуясь положениями статей 88, 100, 101, 146, 169, 171, 172 Налогового кодекса Российской Федерации, статьями 198, 200, 201 Арбитражного процессуального кодекса Российской Федерации, правовой позицией, изложенной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суды пришли к выводу об отсутствии совокупности условий, необходимых для признания оспариваемого решения 3 недействительным и действий по проведению камеральной проверки незаконными. При этом суды исходили из отсутствия доказательств нарушения прав и законных интересов проверяемого лица. Кроме того, суды признали, что представленные налогоплательщиком первичные документы содержат недостоверные сведения, у контрагента отсутствовала возможность реального осуществления сделок.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которыми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