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05.06.2019, оставленным без изменения постановлением Девятого арбитражного апелляционного суда от 09.09.2019, в удовлетворении заявленного требования отказано. Постановлением Арбитражного суда Московского округа от 02.12.2019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75 , 123 , 171 , 172 , 173 , 223 , 226 Налогового кодекса Российской Федерации, суды отказали в удовлетворении заявленных требований, признав правомерными выводы налогового органа о том, что общество заявило в составе вычетов суммы налога на добавленную стоимость с пропуском установленного срока; доказательств невозможности соблюдения требований налогового законодательства в части своевременного удержания и перечисления налога на доходы физических лиц с сумм оплаты труда, выплаченных в последний день месяца, не представлено. Вопреки доводам жалобы разрешение вопроса о правомерности предоставления налогоплательщику права на вычет по налогу на добавленную стоимость с учетом предусмотренного законодателем срока на его реализацию осуществлено судами исходя из фактических обстоятельств конкретного дела, позволяющих установить соответствующий налоговый период, с которым связано начало течения указанного срока, а также отсутствия обстоятельств, препятствовавших его соблюдению. Доводы жалобы не опровергают выводы судов,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При указанных обстоятельствах доводы жалобы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"Газпром инвест" (подробнее) Ответчики: ФНС России МИ покрупнейшим налогоплательщикам №2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