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05.02.2020 (согласно штампу на почтовом конверте)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процессуального срока подачи кассационной жалобы.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последним обжалуемым судебным актом является постановление Арбитражного суда Северо-Западного округа от 06.08.2019, на момент обращения заявителя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данного Кодекса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качестве основания для восстановления процессуального срока заявитель ссылается на отсутствие в постановлении суда округа указания на порядок его обжалования, необходимость обращения за юридической помощью и ознакомления с материалами дела для подготовки настоящей жалобы. Однако названные причины не могут быть признаны уважительными, поскольку не свидетельствуют об отсутствии возможности совершения предусмотренных законом процессуальных действий. Поскольку общество являлось инициатором кассационного обжалования и его представители присутствовали в судебном заседании суда округа, из информации, размещенной в «Картотеке арбитражных дел» в сети «Интернет» следует, что полный текст постановления от 06.08.2019 опубликован в общедоступной базе судебных актов 07.08.2019, заявитель имел реальную возможность в установленный законом срок подготовить и направить жалобу в адрес Верховного Суда Российской Федерации. В силу части 2 статьи 9 АПК РФ лица, участвующие в деле, несут риск наступления последствий совершения или не совершения ими процессуальных действий. Учитывая изложенное, правовые основания для удовлетворения ходатайства и восстановления срока отсутствуют, а кассационная жалоба подлежит возврату заявителю на основании пункта 3 части 1 статьи 291.5 АПК РФ . Уплаченная обществом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117 , 184 ,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«ХимПро» о восстановлении пропущенного срока подачи кассационной жалобы отказать. Кассационную жалобу общества с ограниченной ответственностью «ХимПро» на решение Арбитражного суда города Санкт-Петербурга и Ленинградской области от 16.10.2019, постановление Тринадцатого арбитражного апелляционного суда от 28.01.2019 и постановление Арбитражного суда Северо-Западного округа от 06.08.2019 по делу № А56-26026/2018 возвратить заявителю. Возвратить обществу с ограниченной ответственностью «ХимПро» из федерального бюджета 3000 рублей государственной пошлины, уплаченной по платежному поручению от 05.02.2020 № 59. Выдать справку на возврат государственной пошлины.Судья Верховного Суда Российской Федерации Н.С. Чучунова Суд: Верховный Суд РФ (подробнее) Истцы: АО "ПОБЕДА МОТОРС" (подробнее) Ответчики: ООО "Химпро"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