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индивидуальный предприниматель Зорин Роберт Олегович обратился в суд с заявлением о признании недействительными следующих взаимосвязанных сделок: по составлению и выдаче должником (векселедателем) простого векселя со следующими реквизитами: номер 009131, сумма векселя: 42 660 000 рублей, дата составления: 18.07.2016, срок платежа: 15.09.2016; договора купли- продажи векселя от 02.11.2016, заключенного между обществом с ограниченной ответственностью «ОПТРОН» и обществом «ПЭМ-Инжиниринг»; по принятию к оплате должником простого векселя со следующими реквизитами: номер 009131, сумма векселя: 42 660 000 рублей, дата составления: 18.07.2016 срок платежа: 15.09.2016, совершенному между должником и обществом «ПЭМ-Инжиниринг» и оформленному актом приема- передачи векселя от 30.12.2016. Определением Арбитражного суда города Москвы от 30.07.2019, оставленным без изменения постановлениями Девятого арбитражного апелляционного суда от 26.09.2019 и Арбитражного суда Московского округа от 09.12.2019,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2, 19,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мнимых сделок, совершённых заинтересованными лицами с целью формирования искусственной контролируемой задолженности во вред имущественным интересам независимых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«ПЭМ-Инжиниринг»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