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Толстокоров Владимир Евгеньевич обратился в суд с заявлением о признании недействительной сделки – оплату должником по расписке от 16.11.2015 гражданину Трифонову Николаю Сергеевичу оказанных услуг, применении последствий недействительности сделки в виде возврата 70 000 рублей в конкурсную массу. Определением Арбитражного суда Краснодарского края от 04.04.2019, оставленным без изменении постановлениями Пятнадцатого арбитражного апелляционного суда от 16.08.2019 и Арбитражного суда Северо-Кавказского округа от 22.10.2019, заявление удовлетворено. В кассационной жалобе, поданной в Верховный Суд Российской Федерации, заявитель просит указанные судебные акты и принять по делу новый судебный акт об отказе в удовлетворении заявленных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168 Гражданского кодекса Российской Федерации, статьями 2, 61.1, 61.3, 61.6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доказанности конкурсным управляющим совокупности условий для признания оспариваемого платежа, совершённого в период подозрительности между неплатёжеспособным должником и осведомлённым об этом лицом (представителем, оказывающим должнику юридические услуги), недействительной сделкой по признаку оказания последнему предпочтения.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Шевкоплясу Павлу Петровичу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