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19.04.2019, оставленным без изменения постановлением Девятого арбитражного апелляционного суда от 06.08.2019, в удовлетворении заявленного требования отказано. Постановлением Арбитражного суда Московского округа от 29.10.2019 указанные судебные акты оставлены без изменения. В кассационной жалобе, поступившей в Верховный Суд Российской Федерации, общество просит отменить названные судебные акты, считая их принятыми с существенным нарушением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статьи 269 Налогового кодекса Российской Федерации (в редакции, действовавшей в спорный период), Федерального закона от 15.02.2016 № 25-ФЗ, суды отказали в удовлетворении заявленных требований, признав необоснованным включение в состав внереализационных расходов, уменьшающих налогооблагаемую базу, процентов по генеральным соглашениям о предоставлении займов. При этом суды исходили из того, что коэффициент 12,5 подлежит применению налогоплательщиками, осуществляющими исключительно лизинговую деятельность, в то время как в рассматриваемом случае установлен факт осуществления обществом также иной деятельности.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При указанных обстоятельствах доводы жалобы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"Скания Лизинг" (подробнее) Ответчики: Инспекция Федеральной налоговой службы №28 по г. Москве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