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27.05.2019, оставленным без изменения постановлением Одиннадцатого арбитражного апелляционного суда от 29.07.2019, в удовлетворении иска отказано по мотиву исполнения страховщиком обязательства по выплате страхового возмещения. Арбитражный суд Поволжского округа постановлением от 22.10.2019 решение от 27.052019 и постановление Одиннадцатого арбитражного апелляционного суда от 29.07.2019 оставил без изменения. В кассационной жалобе предприниматель просит об отмене указанных судебных актов, ссылаясь на неосновательность выводов судов о ненадлежащем уведомлении страховщика о состоявшейся уступке требования и недобросовестности выгодоприобретателя.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Суды установили, что в связи с обращением потерпевшей страховщик произвел выплату ей причитающегося по ОСАГО страхового возмещения. В ситуации установленного неурегулирования между предпринимателем и потерпевшей правоотношений в рамках договора уступки прав (цессии) осуществление исполнения в пользу старого кредитора (потерпевшей) правомерно признано надлежащим.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КУЗНЕЦОВ НИКОЛАЙ ЮРЬЕВИЧ (подробнее) Ответчики: АО "Объединенная страховая компания" в лице Самарского филиала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