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22.05.2019, оставленным без изменения постановлением Девятого арбитражного апелляционного суда от 09.09.2019, в удовлетворении заявленного требования отказано. Постановлением Арбитражного суда Московского округа от 27.11.2019 указанные судебные акты оставлены без изменения. В кассационной жалобе, поступившей в Верховный Суд Российской Федерации, общество просит отменить названные судебные акты, считая их принятыми с существенным нарушением норм материального и процессуального права.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статей 375 , 378.2 Налогового кодекса Российской Федерации, Федерального закона от 29.07.1998 № 135-ФЗ «Об оценочной деятельности в Российской Федерации», статей 198 , 200 , 201 Арбитражного процессуального кодекса Российской Федерации, суды отказали в удовлетворении заявленных требований. При этом суды исходили из того, что применение для целей налогообложения стоимости, отличной от кадастровой стоимости, содержащейся в государственном реестре, действующим законодательством не предусмотрено, совокупности условий для признания оспариваемого ненормативного акта недействительным судами не установлено.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Поскольку налоговый орган при определении налоговых обязательств общества в оспариваемом решении подтвердил, что недоимка указана без учета состояния расчетов налогоплательщика с бюджетами, доказательств применения мер принудительного взыскания в отношении указанной суммы не представлено, доводов о том, чем в рассматриваемом случае нарушены права и законные интересы общества в сфере предпринимательской деятельности, не приведено и судами таких обстоятельств не установлено. При указанных обстоятельствах доводы жалобы не могут быть признаны достаточным основанием для пересмотра обжалуемых судебных актов в кассационном порядке.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ЗАО "Северная Башня" (подробнее) Ответчики: Инспекция Федеральной налоговой службы №3 по г. Москве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