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фирма «Промсвет» обратилось в Арбитражный суд Нижегородской области с иском о взыскании с страхового публичного акционерного общества «Ингосстрах» 4 346 192 рублей 80 копеек страхового возмещения. Решением Арбитражного суда Нижегородской области от 22.03.2019 иск удовлетворен. Постановлением Первого арбитражного апелляционного суда от 23.05.2019 решение суда первой инстанции оставлено без изменения. Арбитражный суд Волго-Вятского округа постановлением от 01.11.2019 названные судебные акты отменил и в удовлетворении иска отказал. Общество с ограниченной ответственностью фирма «Промсвет» обратилось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судебные акты и отказывая в удовлетворении иска, окружной суд руководствовался положениями статей 421 , 929 , 942 , 943 , 963 , 964 Гражданского кодекса Российской Федерации, Законом Российской Федерации от 27.11.1992 № 4015-1 «Об организации страхового дела в Российской Федерации» и исходил из того, что произошедшее событие не является страховым случаем.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фирма «Промсвет»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Фирма "Промсвет" (подробнее) ООО фирма "Промсвет" ХРИСТОЛЮБСКИЙ В.Н. (подробнее) Ответчики: ПАО Страховое "Ингосстрах"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