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23.04.2019, оставленным без изменения постановлением Четвертого арбитражного апелляционного суда от 02.08.2019, исковые требования удовлетворены. Арбитражный суд Восточно-Сибирского округа постановлением от 16.10.2019 решение от 23.04.2019 и постановление Четвертого арбитражного апелляционного суда от 02.08.2019 оставил без изменения. В кассационной жалобе общество «Север Алмаз Технологии» просит о пересмотре судебных актов, ссылаясь на неподписание со своей стороны договора займа в связи с несогласованием ответственности за нарушение срока возврата займа, некорректный расчет иска и игнорирование невозможности участия в суде первой инстанции для обоснования возражений.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требования соответствующими договору займа от 29.08.2016 № 011-169, в котором определены условия пользования займом и срок его возврата, и фактическому перечислению денежных средств заемщику (ответчику). Ответственность за нарушение срока возврата займа не является предметом иска. Довод заявителя о невозможности оспорить в суде первой инстанции заключение договора займа признан не подтвержденным. Довод о неправильном учете возвращенных сумм, повлекшем некорректность расчета суммы иска, противоречит статье 319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 Алмаз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"Соллекс-МСК" (подробнее) Ответчики: ООО "Север алмаз технологии"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