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Рязанской области от 17.04.2019, оставленным без изменения постановлением Двадцатого арбитражного апелляционного суда от 28.06.2019, в удовлетворении заявленного требования отказано. Постановлением Арбитражного суда Центрального округа от 28.10.2019 указанные судебные акты оставлены без изменения. В кассационной жалобе, поступившей в Верховный Суд Российской Федерации, общество просит отменить названные судебные акты, считая их принятыми с существенным нарушением норм материального и процессуального права.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Как следует из судебных актов, при исчислении авансового платежа по налогу на имущество налоговая база объектов недвижимого имущества определена обществом исходя из остаточной стоимости таких объектов. Оценив представленные доказательства, руководствуясь положениями Налогового кодекса Российской Федерации, Федерального закона от 29.07.1998 № 135-ФЗ «Об оценочной деятельности в Российской Федерации», суды отказали в удовлетворении заявленных требований, признав, что применение для целей налогообложения стоимости, отличной от кадастровой стоимости, в рассматриваемом случае действующим законодательством не предусмотрено. Доводы кассационной жалобы были предметом исследования судов и получили исчерпывающую правовую оценку применительно к установленным обстоятельствам, свидетельствующим о нахождении спорных помещений в торговом центре, который, в свою очередь, включен в Перечень объектов, в отношении которых налоговая база по налогу на имущество определяется как их кадастровая стоимость. Указанные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"Антарес-групп" (подробнее) Ответчики: Межрайонная ИФНС России №2 по Рязанской области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