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Новосибирской области от 22.02.2019, оставленным без изменения постановлением Седьмого арбитражного апелляционного суда от 17.05.2019, в удовлетворении иска отказано по мотиву недоказанности. Арбитражный суд Западно-Сибирского округа постановлением от 17.10.2019 решение от 22.02.2019 и постановление Седьмого арбитражного апелляционного суда от 17.05.2019 оставил без изменения. В кассационной жалобе общество «Гранд Авто» просит об отмене судебных актов, ссылаясь на игнорирование извещения ответчика о ДТП и его отказа в приеме документов.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Порядок взаимодействия страховщика и потерпевшего в рамках ОСАГО установлен Федеральным законом от 25.04.2002 № 40-ФЗ «Об обязательном страховании ответственности владельцев автотранспортных средств» (далее – Закон об ОСАГО). Суды установили, что истец самостоятельно организовал оценку повреждений и ремонт транспортного средства. Своими действиями общество «Гранд Авто» лишило страховщика законного права на определение размера убытков, вследствие чего требуемые убытки признаны недоказанными в соответствии с пунктом 20 статьи 12 Закона об ОСАГО.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«Гранд Авто»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"Гранд Авто" (подробнее) Ответчики: АО Страховое "ВСК" (подробнее) Иные лица: САО "ВСК"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