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справку обслуживающего банка о состоянии счетов, принадлежность которых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«Май»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Суд: Верховный Суд РФ (подробнее) Истцы: ООО "Май" (подробнее) Ответчики: ООО "WELLDONE" SIA "WELLDONE" (подробнее) Судьи дела: Ксенофонтова Н.А. (судья) (подробнее) Последние документы по делу: Определение от 18 февраля 2020 г. по делу № А21-7834/2018 Определение от 25 декабря 2019 г. по делу № А21-7834/2018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