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24.05.2019, оставленным без изменения постановлением Четвертого арбитражного апелляционного суда от 26.09.2019 и постановлением Арбитражного суда Восточно-Сибирского округа от 28.11.2019, иск удовлетворен. В кассационной жалобе предприниматель просит о пересмотре судебных актов, ссылаясь на отсутствие у истца право требования в связи с выполнением перевозок и игнорирование заявления о применении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признал непредставление предпринимателем доказательств, в силу закона удостоверяющих осуществление в рамках договора от 21.09.2017 № 21/09/17 перевозок, поэтому не установил оснований для удержания после прекращения действия договора полученного авансового платежа и взыскал его в соответствии со статьей 1102 Гражданского кодекса Российской Федерации. Соблюдение срока исковой давности не обсуждалось судами, признавшими неинициирование вопроса об исковой давности в суде первой инстанции, вследствие чего связанный с ней довод кассационной жалобы также не обсуждается.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"Перевозчик" (подробнее) Ответчики: ИП Саргсян Левон Жоржикович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