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«Стимул групп» обратилось в суд с заявлением о признании недействительным договора займа, заключенного 25.12.2010 между должником и Макринской-Груич Валерией Игоревной (далее – займодавец), указывая на его мнимость. Определением Арбитражного суда Московской области от 06.05.2019, оставленным без изменения постановлениями Десятого арбитражного апелляционного суда от 25.07.2019 и Арбитражного суда Московского округа от 28.10.2019,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статьёй 69 Арбитражного процессуального кодекса Российской Федерации, статьями 10, 170, 807, 810, 812 Гражданского кодекса Российской Федерации, статьями 61.1, 213.32 Федерального закона от 26.10.2002 № 127-ФЗ «О несостоятельности (банкротстве)», исходили из недоказанности совокупности условий для признания недействительной оспариваемой сделки по признаку мнимости ввиду обстоятельств реальности займа и факта его выдачи должнику, ранее установленных вступившим в законную силу судебным актом при включении вытекающего из неё требования займодавца в реестр требований кредиторов должника и отсутствии против него каких-либо возражений.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«Стимул групп»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