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служба государственной регистрации, кадастра и картографии (далее – Росреестр) обратилась в суд с иском об исключении из единого государственного реестра саморегулируемых организаций арбитражных управляющих сведений об ассоциации (регистрационный номер 001-1 от 19 декабря 2002 года). Решением Арбитражного суда города Москвы от 02.10.2019, оставленным без изменения постановлением Арбитражного суда Московского округа от 19.11.2019, иск удовлетворён.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иск,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21, 23.1, 25.1, 29 Федерального закона от 26.10.2002 № 127-ФЗ «О несостоятельности (банкротстве)», абзацем 4 пункта 32 постановления Пленума Высшего Арбитражного Суда Российской Федерации от 22.06.2012 года № 35 «О некоторых процессуальных вопросах, связанных с рассмотрением дел о банкротстве», исходил из доказанности истцом как уполномоченным органом факта несоответствия размера компенсационного фонда ассоциации предъявляемым к нему законодательством о банкротстве требованиям, а также неустранении ассоциацией выявленного нарушения в отвёденный для этого законом срок. Суд округа согласился с выводами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"Первая СРО АУ" (подробнее) Федеральная служба государственной регистрации, кадастра и картографии (подробнее) Ответчики: Ассоциация "Первая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