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07.03.2019, оставленным без изменения постановлением Четвертого арбитражного апелляционного суда от 11.07.2019 и постановлением Арбитражного суда Восточно-Сибирского округа от 28.10.2019, в удовлетворении иска отказано.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пришли к выводу о недоказанности обществом существенного нарушения учреждением условий государственного контракта и, руководствуясь статьями 450 , 779 , 782 Гражданского кодекса Российской Федерации, отказали в удовлетворении иска, с чем впоследствии согласился суд округа. Доводы кассационной жалобы фактически сводятся к изложению обстоятельств дела, которые были предметом исследования, не опровергают выводы судов, не подтверждают существенных нарушений судами норм материального и (или) процессуального права и не могут служить основанием для передачи жалобы на рассмотрение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«ГеоСтройТех»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"ГеоСтройТех" (подробнее) Ответчики: Государственное автономное учреждение Иркутской области "Экспертиза в строительстве Иркутской области" (ГАУИО "Ирэкспертиза") (подробнее) Иные лица: Красноярский филиал ФАУ "Главгосэкспертиза"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