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13.02.2020 с ходатайством о восстановлении срока. Общество просит восстановить срок, указывая на уплату после возвращения Судом первоначально поданной кассационной жалобы государственной пошлины и прилагает платежное поручение от 06.02.2020 № 373.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Укомплектованная необходимыми документами кассационная жалоба подана с нарушением без указания причины установленного срока на обжалование. В такой ситуации оснований для восстановления срока не имеется. В связи с подачей документов в электронном виде кассационная жалоба и государственная пошлина настоящим определением не возвращаются.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«МБ-Беляево» в восстановлении срока подачи кассационной жалобы на решение Арбитражного суда города Москвы от 08.02.2019 по делу № А40-191623/2018, постановление Девятого арбитражного апелляционного суда от 10.07.2019 и постановление Арбитражного суда Московского округа от 19.11.2019 по тому же делу. Кассационную жалобу не рассматривать по существу.Судья Верховного Суда Российской Федерации Н.А. Ксенофонтова Суд: Верховный Суд РФ (подробнее) Истцы: АО "МБ-Беляево" (подробнее) Ответчики: ООО "МИР АДВ"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