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обосновывает ходатайство об отсрочке уплаты государственной пошлины сложным имущественным положением. Согласно статье 102 Арбитражного процессуального кодекса Российской Федерации и пункту 2 статьи 333.22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2 Документы, отражающие имущественное положение, общество не представило, поэтому ходатайство об отсрочке уплаты государственной пошлины удовлетворению не подлежит. Учитывая, что ходатайство об отсрочке уплаты государственной 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«Траст Металл» в удовлетворении ходатайства о предоставлении отсрочки уплаты государственной пошлины за подачу кассационной жалобы на постановление Арбитражного суда Северо-Кавказского округа от 11.12.2019 по делу № А01-891/2018 Арбитражного суда Республики Адыгея. Возвратить обществу с ограниченной ответственностью «Траст Металл»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