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по арендным платежам. Определением Арбитражного суда города Москвы от 04.03.2019 требование общества в размере 83 066 079 рублей 39 копеек включено в третью очередь реестра; производство в остальной части заявления прекращено. Постановлением Девятого арбитражного апелляционного суда от 11.07.2019, оставленным без изменения постановлением Арбитражного суда Московского округа от 02.10.2019, вышеуказанное определение отменено; в удовлетворении требования общества отказано. В кассационной жалобе, поданной в Верховный Суд Российской Федерации, заявитель просит отменить постановления судов апелляционной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необоснованным требование общества исходя из фактических обстоятельств заинтересованности участников мнимых сделок, не раскрывших разумных экономических мотивов их заключения и не опровергнувших обоснованные сомнения в реальности возникших между ними арендных отношений, отметив явное злоупотребление заявителем своим правом и направленность совершаемых им действий на причинение вреда интересам кредиторов.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«Альтесс-Инвест»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