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13.12.2018 исковые требования удовлетворены. Постановлением Восемнадцатого арбитражного апелляционного суда от 28.05.2019 принят отказ общества «Маис» от иска в части взыскания 390 206 руб. 18 коп. процентов за пользование чужими денежными средствами, решение суда в указанной части отменено, производство по делу в данной части прекращено; в остальной части решение суда оставлено без изменения. Постановлением Арбитражного суда Уральского округа от 10.10.2019 постановление суда апелляционной инстанции оставлено без изменения. В кассационной жалобе, поданной в Верховный Суд Российской Федерации, общество «Статус»,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следует из судебных актов, исковые требования мотивированы ненадлежащим исполнением обществом «Статус» обязательств по оплате работ, выполненных обществом «Маис» в рамках договора генерального подряда от 06.03.2017 № 2.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702 , 711 , 720 , 746 , 753 Гражданского кодекса Российской Федерации, пришли к выводу о наличии оснований для взыскания с общества «Статус» испрашиваемой задолженности, исходя из подтвержденности факта выполнения обществом «Маис» спорных работ и отсутствия доказательств их оплаты.С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«Статус»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17 февраля 2020 г. по делу № А47-12099/2018 Определение от 12 декабря 2019 г. по делу № А47-12099/2018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