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поданная 21.01.2020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возвращена письмом Верховного Суда Российской Федерации от 27.01.2020 на основании пункта 1 части 1 статьи 291.5 АПК РФ в связи с тем, что к жалобе не приложены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соответствии с требованиями пункта 2 части 5 статьи 291.3 АПК РФ . Повторно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12.02.2020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А40-138092/2017 является постановление Арбитражного суда Московского округа от 20.11.2019, вступившее в законную силу, согласно части 5 статьи 289 АПК РФ , со дня его принятия – 20.11.2019, следовательно, двухмесячный срок на подачу кассационной жалобы истек 20.01.2020, тогда как жалоба подана 12.02.2020.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указаны устранение причин, послуживших основанием для возвращения кассационной жалобы, и временные организационные трудности. Между тем, указанные обстоятельства не являются причинами, не зависящими от лица, обратившегося с жалобой, следовательно, не являются уважительными причинами пропуска срока, установленного статьей 291.2 АПК РФ. Ненадлежащая подача первоначальной кассационной жалобы, последующий возврат жалобы и уплата государственной пошлины 11.02.2020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подачи кассационной жалобы в Судебную коллегию Верховного Суда Российской Федерации.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Внутренние организационные проблемы юридического лица, обратившегося с кассационной жалобой, связанные со сменой исполнительного органа и невозможностью своевременной оплаты государственной пошлины, не могут рассматриваться в качестве уважительных причин пропуска срока. С учетом этого приведенные доводы не свидетельствуют о наличии уважительных причин пропуска срока.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«СтройТехника»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02.04.2019 по делу № А40-138092/2017, постановление Девятого арбитражного апелляционного суда от 13.08.2019 и постановление Арбитражного суда Московского округа от 20.11.2019 по тому же делу. Жалобу общества с ограниченной ответственностью «СтройТехника» возвратить без рассмотрения по существу. Судья Верховного Суда Российской Федерации Е.Н. Зарубина Суд: Верховный Суд РФ (подробнее) Истцы: ООО "Стройтехника" (подробнее) Ответчики: ООО "УПРАВЛЯЮЩАЯ КОМПАНИЯ "ТЕРРОНИКА"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