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жалоба на указанный судебный акт, поданная 07.02.2020 как надзорная, возвращена письмом Верховного Суда Российской Федерации от 11.02.2020 на основании пункта 5 части 1 статьи 308.3 Арбитражного процессуального кодекса Российской Федерации в связи с нарушением правил подсудности, установленных частью 3 статьи 308.1 АПК РФ . Настоящая кассационная жалоба подана обществом посредством заполнения формы, размещенной на официальном сайте суда в информационно-телекоммуникационной сети «Интернет», 13.02.2020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Обжалуемым судебным актом по делу № А65-38018/2018 является постановление Арбитражного суда Поволжского округа от 05.12.2019, вступившее в законную силу, согласно части 5 статьи 289 АПК РФ , со дня его принятия – 05.12.2019, следовательно, двухмесячный срок на подачу кассационной жалобы истек 05.02.2020, тогда как жалоба подана 13.02.2020.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указаны организационные и технические трудности – командировка юриста общества. Между тем, внутренние организационные проблемы юридического лица, обратившегося с кассационной жалобой, не являются причинами, не зависящими от лица, обратившегося с такой жалобой, и не могут рассматриваться в качестве уважительных причин пропуска срока (пункт 34 постановления Пленума Высшего Арбитражного Суда Российской Федерации от 25.12.2013 № 99 «О процессуальных сроках»).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«СК «Премьер-Сити» в удовлетворении ходатайства о восстановлении пропущенного процессуального срока подачи кассационной жалобы на постановление Арбитражного суда Поволжского округа от 05.12.2019 по делу № А65- 38018/2018 Арбитражного суда Республики Татарстан. Жалобу общества с ограниченной ответственностью «СК «Премьер-Сити» возвратить без рассмотрения по существу. Судья Верховного Суда Российской Федерации Е.Н. Зарубина Суд: Верховный Суд РФ (подробнее) Истцы: ООО "СК" Премьер-Сити", г.Казань (подробнее) Ответчики: ООО "ТатИнтерКом", г.Казань (подробнее) Иные лица: МРИ ФНС №14 по РТ, г. Казань (подробнее) Одиннадцатый арбитражный апелляционный суд, г.Самара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