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«БМ-Банк» обратилось в суд с заявлением о признании недействительным решения собрания кредиторов должника от 23.07.2019. Определением Арбитражного суда города Москвы от 11.10.2019, оставленным без изменения постановлением Девятого арбитражного апелляционного суда от 15.11.2019, требования удовлетворены. В кассационной жалобе, поданной в Верховный Суд Российской Федерации, заявитель просит отменить указанные судебные акты, отказать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Признавая недействительным решение собрания кредиторов как обладающее явными признаками злоупотребления правом,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12, 14, 15, 32, 60 и 93 Федерального закона от 26.10.2002 № 127-ФЗ «О несостоятельности (банкротстве)», установил недобросовестность в поведении организатора проведения собрания, выразившееся в самовольной корректировке реестра требований кредиторов для отмены ранее принятых решений на собрании кредиторов, подтвержденных вступившими в силу судебными актами, что привело к искажению воли кредиторов. Апелляционный суд поддержал выводы суда первой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коммерческое предприятие «Кредит-Нева»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