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17.05.2019, оставленным без изменения постановлением Девятого арбитражного апелляционного суда от 22.07.2019, в удовлетворении иска отказано. Арбитражный суд Московского округа постановлением от 22.10.2019 решение от 17.05.2019 и постановление Девятого арбитражного апелляционного суда от 22.07.2019 оставил без изменения. В кассационной жалобе общество просит об отмене указанных судебных актов, ссылаясь на ошибочную оценку доказательств.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обстоятельств, составляющих в силу статей 15, 393 Гражданского кодекса Российской Федерации условия для взыскания убытков, находится в компетенции судов, рассматривающих дело по правилам для первой инстанции и ее пересмотр на стадии кассационного производства не производится. Судьба обеспечительного платежа разрешена судом первой инстанции в соответствии с условиями и обстоятельствами исполнения контракта.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«Виннер»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