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23.04.2019, оставленным без изменения постановлением Одиннадцатого арбитражного апелляционного суда от 24.07.2019, иск удовлетворен. Арбитражный суд Поволжского округа постановлением от 17.10.2019 решение от 23.04.2019 и постановление Одиннадцатого арбитражного апелляционного суда от 24.07.2019 оставил без изменения. 2 В кассационной жалобе общество просит об отмене судебных актов, ссылаясь на игнорирование судами вины банка в просрочке и неосновательное неуменьшение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содержание кредитных договоров и обстоятельства их исполнения, суды установили согласование сторонами условия о применении повышенных процентов и наступление таких условий, поэтому удовлетворили иск в соответствии с договором и статьями 810, 819 Гражданского кодекса Российской Федерации. Довод общества о вине банка в просрочке правильно отклонен. Заявление общества о применении статьи 333 Гражданского кодекса Российской Федерации рассмотрено в соответствии с компетенцией.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Узловского машиностроительного завода»в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