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23.04.2019, оставленным без изменения постановлением Седьмого арбитражного апелляционного суда от 10.07.2019, в удовлетворении иска отказано. Арбитражный суд Западно-Сибирского округа постановлением от 17.10.2019 решение от 23.04.2019 и постановление Седьмого арбитражного апелляционного суда от 10.07.2019 оставил без изменения. В кассационной жалобе агентство просит об отмене судебных актов, ссылаясь на отсутствие доказательств сомнительного характера спорных операций, неустановление срока для направления запрошенных документов, необъективную оценку представленных доказательств.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Правомочность осуществления банком контроля за операциями клиента основана на нормах Федерального закона от 07.08.2001 № 115-ФЗ «О противодействии легализации (отмыванию) доходов, полученных преступным путем, и финансированию терроризма» и внутренних правилах. Суды согласились с основанной на правовом анализе представленных документов оценкой банком спорной операции, поэтому признали принятые банком меры не противоречащими статье 859 Гражданского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«Кадровое Агентство Миграционная Биржа Труда»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