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16.04.2019, оставленным без изменения постановлением Девятого арбитражного апелляционного суда от 04.07.2019 и постановлением Арбитражного суда Московского округа от 16.10..2019, в удовлетворении иска отказано в связи с недоказанностью. В кассационной жалобе предприниматель просит об отмене судебных актов как незаконных, ссылаясь на их несоответствие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исполнение сторонами обязательств применительно к условиям договора от 01.11.2017 № ИП/01.11.17, содержащего порядок согласования заданий и их цены, сдачи-приемки услуг, и несоблюдение предпринимателем указанного порядка, поэтому признали оказание услуг не доказанным в соответствии со статьями 779, 781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Трофимовой Елене Степановне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