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11.04.2019, оставленным без изменения постановлением Восемнадцатого арбитражного апелляционного суда от 25.06.2019 и постановлением Арбитражного суда Уральского округа от 16.10.2019, иск удовлетворен частично. В кассационной жалобе общество «Уральская Сталь» просит об отмене указанных судебных актов, ссылаясь на неверный расчет взысканной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Исследовав и оценив обстоятельства дела, руководствуясь статьями 469 , 475 , 506 Гражданского кодекса Российской Федерации, суды признали за истцом право на уменьшение во взысканном размере покупной цены поставленного ответчиком угля. Приведенные в кассационной жалобе доводы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«Уральская Сталь»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