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действия (бездействие) конкурсного управляющего должником Южалкиной Светланы Валерьевны, выразившиеся в представлении собранию кредиторов неполной и противоречивой информации о принятии в ходе конкурсного производства мер по формированию конкурсной массы; в непринятии необходимых и достаточных мер для формирования конкурсной массы; в нарушении сроков проведения инвентаризации имущества должника. Определением Арбитражного суда Свердловской области от 19.04.2019, оставленным без изменения постановлениями Семнадцатого арбитражного апелляционного суда от 30.07.2019 и Арбитражного суда Уральского округа от 09.10.2019, отказано в удовлетворении жалобы. В кассационной жалобе, поданной в Верховный Суд Российской Федерации, заявитель просит отменить названные судебные акты, обособленный спор направить на новое рассмотрение в Арбитражный суд Свердловской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129-131 и 143 Федерального закона от 26.10.2002 № 127-ФЗ «О несостоятельности (банкротстве)», исходили из недоказанности наличия в действиях Южалкиной С.В. вменяемых ей нарушений законодательства о несостоятельности.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«Геобурком»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